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84C7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6103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2006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84C7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84C7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84C7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84C7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84C7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2445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84C7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584C7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584C7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584C7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584C7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6244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244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84C7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2445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84C7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E825E5">
        <w:rPr>
          <w:rFonts w:eastAsiaTheme="minorEastAsia"/>
          <w:color w:val="000000"/>
          <w:sz w:val="26"/>
          <w:szCs w:val="26"/>
        </w:rPr>
        <w:t>06.10.2025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</w:t>
      </w:r>
      <w:r w:rsidR="00E825E5">
        <w:rPr>
          <w:rFonts w:eastAsiaTheme="minorEastAsia"/>
          <w:color w:val="000000"/>
          <w:sz w:val="26"/>
          <w:szCs w:val="26"/>
        </w:rPr>
        <w:t xml:space="preserve">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E825E5">
        <w:rPr>
          <w:rFonts w:eastAsiaTheme="minorEastAsia"/>
          <w:color w:val="000000"/>
          <w:sz w:val="26"/>
          <w:szCs w:val="26"/>
        </w:rPr>
        <w:t>24/7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62445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84C7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244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84C7B" w:rsidP="00B5565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Схему размещения нестационарных торговых объектов на территории </w:t>
      </w:r>
      <w:r w:rsidR="00B5565F">
        <w:rPr>
          <w:rStyle w:val="af2"/>
          <w:b/>
          <w:bCs/>
          <w:color w:val="auto"/>
          <w:sz w:val="26"/>
          <w:szCs w:val="26"/>
        </w:rPr>
        <w:t>г</w:t>
      </w:r>
      <w:r w:rsidRPr="00F144F2">
        <w:rPr>
          <w:rStyle w:val="af2"/>
          <w:b/>
          <w:bCs/>
          <w:color w:val="auto"/>
          <w:sz w:val="26"/>
          <w:szCs w:val="26"/>
        </w:rPr>
        <w:t>ород</w:t>
      </w:r>
      <w:r w:rsidR="00B5565F">
        <w:rPr>
          <w:rStyle w:val="af2"/>
          <w:b/>
          <w:bCs/>
          <w:color w:val="auto"/>
          <w:sz w:val="26"/>
          <w:szCs w:val="26"/>
        </w:rPr>
        <w:t>а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Глазов</w:t>
      </w:r>
      <w:r w:rsidR="00B5565F">
        <w:rPr>
          <w:rStyle w:val="af2"/>
          <w:b/>
          <w:bCs/>
          <w:color w:val="auto"/>
          <w:sz w:val="26"/>
          <w:szCs w:val="26"/>
        </w:rPr>
        <w:t>а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, утвержденную постановлением Администрации города </w:t>
      </w:r>
      <w:r w:rsidR="00B5565F">
        <w:rPr>
          <w:rStyle w:val="af2"/>
          <w:b/>
          <w:bCs/>
          <w:color w:val="auto"/>
          <w:sz w:val="26"/>
          <w:szCs w:val="26"/>
        </w:rPr>
        <w:t xml:space="preserve">Глазова </w:t>
      </w:r>
      <w:r w:rsidR="008D16C4">
        <w:rPr>
          <w:rStyle w:val="af2"/>
          <w:b/>
          <w:bCs/>
          <w:color w:val="auto"/>
          <w:sz w:val="26"/>
          <w:szCs w:val="26"/>
        </w:rPr>
        <w:t>от 09.12.2015 года №24/17 «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Об утверждении схемы размещения нестационарных торговых объектов на территории города </w:t>
      </w:r>
      <w:r w:rsidR="008D16C4">
        <w:rPr>
          <w:rStyle w:val="af2"/>
          <w:b/>
          <w:bCs/>
          <w:color w:val="auto"/>
          <w:sz w:val="26"/>
          <w:szCs w:val="26"/>
        </w:rPr>
        <w:t>Глазова»</w:t>
      </w:r>
    </w:p>
    <w:p w:rsidR="00AC14C7" w:rsidRPr="00760BEF" w:rsidRDefault="006244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5565F" w:rsidRPr="00B5565F" w:rsidRDefault="00B5565F" w:rsidP="00F96F9F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6"/>
          <w:szCs w:val="26"/>
        </w:rPr>
      </w:pPr>
      <w:r w:rsidRPr="00B5565F">
        <w:rPr>
          <w:sz w:val="26"/>
          <w:szCs w:val="26"/>
        </w:rPr>
        <w:t>В соответствии с Федеральным законом от 28 декабря 2009 № 381-ФЗ «Об основах государственного регулирования торговой деятельности в Российской Федерации», приказом Министерства промышленности и торговли Удмуртской Республики от 21.08.2015 № 65 «Об утверждении Порядка разработки и утверждения схемы размещения нестационарных торговых объектов на территории Удмуртской Республики», Уставом муниципального образования «Городской округ «Город Глазов» Удмуртской Республики»</w:t>
      </w:r>
    </w:p>
    <w:p w:rsidR="00B5565F" w:rsidRPr="00B5565F" w:rsidRDefault="00B5565F" w:rsidP="00F96F9F">
      <w:pPr>
        <w:spacing w:line="288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B5565F">
        <w:rPr>
          <w:rStyle w:val="12"/>
          <w:rFonts w:ascii="Times New Roman" w:hAnsi="Times New Roman" w:cs="Times New Roman"/>
          <w:iCs/>
          <w:sz w:val="26"/>
          <w:szCs w:val="26"/>
        </w:rPr>
        <w:t>П О С Т А Н О В Л Я</w:t>
      </w:r>
      <w:r w:rsidRPr="00B5565F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Ю: </w:t>
      </w:r>
    </w:p>
    <w:p w:rsidR="00AC14C7" w:rsidRPr="001F5B74" w:rsidRDefault="00B5565F" w:rsidP="00F96F9F">
      <w:pPr>
        <w:spacing w:line="288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 w:rsidRPr="00B5565F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1. Внести в Схему размещения нестационарных торговых объектов на территории города Глазова, утвержденную постановлением Администрации города Глазова от 09.12.2015 № 24/17 «Об утверждении схемы размещения нестационарных торговых объектов на территории города Глазова», 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следующие </w:t>
      </w:r>
      <w:r w:rsidRPr="00B5565F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изменения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:</w:t>
      </w:r>
    </w:p>
    <w:p w:rsidR="00AC14C7" w:rsidRDefault="00B5565F" w:rsidP="00F96F9F">
      <w:pPr>
        <w:spacing w:line="288" w:lineRule="auto"/>
        <w:ind w:firstLine="709"/>
        <w:jc w:val="both"/>
        <w:rPr>
          <w:rStyle w:val="fontstyle01"/>
        </w:rPr>
      </w:pPr>
      <w:r>
        <w:rPr>
          <w:rStyle w:val="fontstyle01"/>
        </w:rPr>
        <w:t>1.1. Строку 14 части 2 «Места возможного размещения нестационарных торговых объектов» изложить в следующей редакции:</w:t>
      </w:r>
    </w:p>
    <w:p w:rsidR="00B5565F" w:rsidRDefault="00B5565F" w:rsidP="00B5565F">
      <w:pPr>
        <w:ind w:firstLine="709"/>
        <w:jc w:val="both"/>
        <w:rPr>
          <w:rStyle w:val="fontstyle01"/>
        </w:rPr>
      </w:pPr>
    </w:p>
    <w:tbl>
      <w:tblPr>
        <w:tblStyle w:val="a7"/>
        <w:tblW w:w="9393" w:type="dxa"/>
        <w:tblLook w:val="04A0" w:firstRow="1" w:lastRow="0" w:firstColumn="1" w:lastColumn="0" w:noHBand="0" w:noVBand="1"/>
      </w:tblPr>
      <w:tblGrid>
        <w:gridCol w:w="675"/>
        <w:gridCol w:w="4536"/>
        <w:gridCol w:w="2694"/>
        <w:gridCol w:w="780"/>
        <w:gridCol w:w="708"/>
      </w:tblGrid>
      <w:tr w:rsidR="00B5565F" w:rsidTr="00B5565F">
        <w:tc>
          <w:tcPr>
            <w:tcW w:w="675" w:type="dxa"/>
          </w:tcPr>
          <w:p w:rsidR="00B5565F" w:rsidRPr="00B5565F" w:rsidRDefault="00B5565F" w:rsidP="00B5565F">
            <w:pPr>
              <w:ind w:right="33"/>
              <w:jc w:val="both"/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B5565F"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  <w:t>14.</w:t>
            </w:r>
          </w:p>
        </w:tc>
        <w:tc>
          <w:tcPr>
            <w:tcW w:w="4536" w:type="dxa"/>
          </w:tcPr>
          <w:p w:rsidR="00B5565F" w:rsidRDefault="00B5565F" w:rsidP="00B5565F">
            <w:pPr>
              <w:jc w:val="both"/>
              <w:rPr>
                <w:rStyle w:val="fontstyle01"/>
                <w:rFonts w:ascii="Times New Roman" w:hAnsi="Times New Roman"/>
              </w:rPr>
            </w:pPr>
            <w:r w:rsidRPr="00B5565F">
              <w:rPr>
                <w:rStyle w:val="fontstyle01"/>
                <w:rFonts w:ascii="Times New Roman" w:hAnsi="Times New Roman"/>
              </w:rPr>
              <w:t>Сквер «Глазовский городской сад»</w:t>
            </w:r>
          </w:p>
          <w:p w:rsidR="00B5565F" w:rsidRDefault="00B5565F" w:rsidP="00B5565F">
            <w:pPr>
              <w:jc w:val="both"/>
              <w:rPr>
                <w:rStyle w:val="fontstyle01"/>
                <w:rFonts w:ascii="Times New Roman" w:hAnsi="Times New Roman"/>
              </w:rPr>
            </w:pPr>
            <w:r w:rsidRPr="00B5565F">
              <w:rPr>
                <w:rStyle w:val="fontstyle01"/>
                <w:rFonts w:ascii="Times New Roman" w:hAnsi="Times New Roman"/>
              </w:rPr>
              <w:t>H1: Х - 532653.133, Y- 2198682.698</w:t>
            </w:r>
          </w:p>
          <w:p w:rsidR="00B5565F" w:rsidRDefault="00B5565F" w:rsidP="00B5565F">
            <w:pPr>
              <w:jc w:val="both"/>
              <w:rPr>
                <w:rStyle w:val="fontstyle01"/>
                <w:rFonts w:ascii="Times New Roman" w:hAnsi="Times New Roman"/>
              </w:rPr>
            </w:pPr>
            <w:r w:rsidRPr="00B5565F">
              <w:rPr>
                <w:rStyle w:val="fontstyle01"/>
                <w:rFonts w:ascii="Times New Roman" w:hAnsi="Times New Roman"/>
              </w:rPr>
              <w:t>H2: Х - 532653.700, Y- 2198676.724</w:t>
            </w:r>
          </w:p>
          <w:p w:rsidR="00B5565F" w:rsidRDefault="00B5565F" w:rsidP="00B5565F">
            <w:pPr>
              <w:jc w:val="both"/>
              <w:rPr>
                <w:rStyle w:val="fontstyle01"/>
                <w:rFonts w:ascii="Times New Roman" w:hAnsi="Times New Roman"/>
              </w:rPr>
            </w:pPr>
            <w:r w:rsidRPr="00B5565F">
              <w:rPr>
                <w:rStyle w:val="fontstyle01"/>
                <w:rFonts w:ascii="Times New Roman" w:hAnsi="Times New Roman"/>
              </w:rPr>
              <w:t>H3: Х – 532657.682, Y- 2198677.103</w:t>
            </w:r>
          </w:p>
          <w:p w:rsidR="00B5565F" w:rsidRPr="00B5565F" w:rsidRDefault="00B5565F" w:rsidP="00B5565F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kern w:val="0"/>
                <w:sz w:val="26"/>
                <w:szCs w:val="26"/>
              </w:rPr>
            </w:pPr>
            <w:r w:rsidRPr="00B5565F">
              <w:rPr>
                <w:rStyle w:val="fontstyle01"/>
                <w:rFonts w:ascii="Times New Roman" w:hAnsi="Times New Roman"/>
              </w:rPr>
              <w:t>H4: Х – 532657.115, Y- 2198683.076</w:t>
            </w:r>
          </w:p>
        </w:tc>
        <w:tc>
          <w:tcPr>
            <w:tcW w:w="2694" w:type="dxa"/>
          </w:tcPr>
          <w:p w:rsidR="00B5565F" w:rsidRPr="00B5565F" w:rsidRDefault="00B5565F" w:rsidP="00B5565F">
            <w:pPr>
              <w:jc w:val="both"/>
              <w:rPr>
                <w:sz w:val="26"/>
                <w:szCs w:val="26"/>
              </w:rPr>
            </w:pPr>
            <w:r w:rsidRPr="00B5565F">
              <w:rPr>
                <w:rStyle w:val="fontstyle01"/>
                <w:rFonts w:ascii="Times New Roman" w:hAnsi="Times New Roman"/>
              </w:rPr>
              <w:t>Продукция общественного питания</w:t>
            </w:r>
          </w:p>
          <w:p w:rsidR="00B5565F" w:rsidRPr="00B5565F" w:rsidRDefault="00B5565F" w:rsidP="001F5B74">
            <w:pPr>
              <w:ind w:right="566"/>
              <w:jc w:val="both"/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80" w:type="dxa"/>
          </w:tcPr>
          <w:p w:rsidR="00B5565F" w:rsidRPr="00B5565F" w:rsidRDefault="00B5565F" w:rsidP="00B5565F">
            <w:pPr>
              <w:jc w:val="both"/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B5565F"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24</w:t>
            </w:r>
          </w:p>
        </w:tc>
        <w:tc>
          <w:tcPr>
            <w:tcW w:w="708" w:type="dxa"/>
          </w:tcPr>
          <w:p w:rsidR="00B5565F" w:rsidRPr="00B5565F" w:rsidRDefault="00B5565F" w:rsidP="00B5565F">
            <w:pPr>
              <w:tabs>
                <w:tab w:val="left" w:pos="1122"/>
              </w:tabs>
              <w:ind w:right="-78"/>
              <w:jc w:val="both"/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 w:rsidRPr="00B5565F"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  <w:t>24</w:t>
            </w:r>
          </w:p>
        </w:tc>
      </w:tr>
    </w:tbl>
    <w:p w:rsidR="00B5565F" w:rsidRDefault="00B5565F" w:rsidP="00B5565F">
      <w:pPr>
        <w:spacing w:line="312" w:lineRule="auto"/>
        <w:ind w:firstLine="567"/>
        <w:jc w:val="both"/>
        <w:rPr>
          <w:bCs/>
          <w:sz w:val="26"/>
          <w:szCs w:val="26"/>
        </w:rPr>
      </w:pPr>
    </w:p>
    <w:p w:rsidR="00B5565F" w:rsidRDefault="00B5565F" w:rsidP="00B5565F">
      <w:pPr>
        <w:spacing w:line="312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Настоящее постановление подлежит официальному опубликованию.</w:t>
      </w:r>
    </w:p>
    <w:p w:rsidR="00B5565F" w:rsidRDefault="00B5565F" w:rsidP="00B5565F">
      <w:pPr>
        <w:spacing w:line="312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Контроль за исполнением настоящего постановления оставляю за собой.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2006C" w:rsidTr="00E825E5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84C7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bookmarkStart w:id="0" w:name="_GoBack"/>
            <w:bookmarkEnd w:id="0"/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84C7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624453" w:rsidP="00E825E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53" w:rsidRDefault="00624453">
      <w:r>
        <w:separator/>
      </w:r>
    </w:p>
  </w:endnote>
  <w:endnote w:type="continuationSeparator" w:id="0">
    <w:p w:rsidR="00624453" w:rsidRDefault="006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53" w:rsidRDefault="00624453">
      <w:r>
        <w:separator/>
      </w:r>
    </w:p>
  </w:footnote>
  <w:footnote w:type="continuationSeparator" w:id="0">
    <w:p w:rsidR="00624453" w:rsidRDefault="0062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84C7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244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84C7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25E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244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550A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21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E7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00E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2A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5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C8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8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0E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6DC5E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8A1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865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4C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43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9C9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4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81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F6A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BD059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64C1E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5ACBF9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DC0843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DF26D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018E9B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4A8481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57E19D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DB01F7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576BF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080FD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9CBF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7628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EA39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6CC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A812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6A2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2ACB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5309C1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E1C1D50" w:tentative="1">
      <w:start w:val="1"/>
      <w:numFmt w:val="lowerLetter"/>
      <w:lvlText w:val="%2."/>
      <w:lvlJc w:val="left"/>
      <w:pPr>
        <w:ind w:left="1440" w:hanging="360"/>
      </w:pPr>
    </w:lvl>
    <w:lvl w:ilvl="2" w:tplc="1040B936" w:tentative="1">
      <w:start w:val="1"/>
      <w:numFmt w:val="lowerRoman"/>
      <w:lvlText w:val="%3."/>
      <w:lvlJc w:val="right"/>
      <w:pPr>
        <w:ind w:left="2160" w:hanging="180"/>
      </w:pPr>
    </w:lvl>
    <w:lvl w:ilvl="3" w:tplc="FD58A1EC" w:tentative="1">
      <w:start w:val="1"/>
      <w:numFmt w:val="decimal"/>
      <w:lvlText w:val="%4."/>
      <w:lvlJc w:val="left"/>
      <w:pPr>
        <w:ind w:left="2880" w:hanging="360"/>
      </w:pPr>
    </w:lvl>
    <w:lvl w:ilvl="4" w:tplc="4C68B218" w:tentative="1">
      <w:start w:val="1"/>
      <w:numFmt w:val="lowerLetter"/>
      <w:lvlText w:val="%5."/>
      <w:lvlJc w:val="left"/>
      <w:pPr>
        <w:ind w:left="3600" w:hanging="360"/>
      </w:pPr>
    </w:lvl>
    <w:lvl w:ilvl="5" w:tplc="D71CC756" w:tentative="1">
      <w:start w:val="1"/>
      <w:numFmt w:val="lowerRoman"/>
      <w:lvlText w:val="%6."/>
      <w:lvlJc w:val="right"/>
      <w:pPr>
        <w:ind w:left="4320" w:hanging="180"/>
      </w:pPr>
    </w:lvl>
    <w:lvl w:ilvl="6" w:tplc="A14669C2" w:tentative="1">
      <w:start w:val="1"/>
      <w:numFmt w:val="decimal"/>
      <w:lvlText w:val="%7."/>
      <w:lvlJc w:val="left"/>
      <w:pPr>
        <w:ind w:left="5040" w:hanging="360"/>
      </w:pPr>
    </w:lvl>
    <w:lvl w:ilvl="7" w:tplc="AA064E78" w:tentative="1">
      <w:start w:val="1"/>
      <w:numFmt w:val="lowerLetter"/>
      <w:lvlText w:val="%8."/>
      <w:lvlJc w:val="left"/>
      <w:pPr>
        <w:ind w:left="5760" w:hanging="360"/>
      </w:pPr>
    </w:lvl>
    <w:lvl w:ilvl="8" w:tplc="9FBC5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1227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0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C3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C4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85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8E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E7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AEA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A7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28E5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5E1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E35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613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C6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5E5F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C2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48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86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ACAD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C6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28F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66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C9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EAA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E3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8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A1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264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4F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C10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12F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63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4CB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00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E2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A27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DC219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1D23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A47F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ED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84E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B0F1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879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447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6E2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CE8A2B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9241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A0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FAF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4C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A7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120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CBE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41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E646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0C13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6F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22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47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08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C0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E8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06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A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45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05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9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E7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03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523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09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60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77C7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222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5A0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6E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E3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76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6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CD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CE1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FA0B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880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04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CE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C3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8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45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02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EC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A2E6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382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60B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B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40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1EB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44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61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686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A8619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D46A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60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6C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89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05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C0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68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A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BAC25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C88C5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C8CB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BA9E7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C6A45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C749D5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0A38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AB0C7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E72E02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772A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824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E06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C3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2A1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B23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68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C5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E1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6D8A7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C7C62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AE098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0644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7FA67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9C261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CF6B5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3E2F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1A93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ACA0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46D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E26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04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AC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B86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ED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44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FE8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4D6B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76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029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60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4B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AC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9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D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D47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A0AEAD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36EA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E7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F4F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7B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462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25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A0A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A23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968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CA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BAC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E8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4D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6F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80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68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80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2D94F6E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3BC699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51CA5F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E529E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02E07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B0A9AA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50812D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168A3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0881A0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FEC23B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72E6B7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8D4F1A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BAED5B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5E036B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5401E8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4B2827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620C6D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F84FB4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6A09D3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C7AE06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CA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64FA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0E0C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4419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9076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E6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F4CB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42C59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EF0D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283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4A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0C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8F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03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4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6B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18CEB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A60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A4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25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4B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3AE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00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85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B63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3328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88F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F81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E9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C0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80A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0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45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38B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B387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4C5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8F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EE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E2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81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0D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6A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3E022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E0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A97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8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CA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0E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CE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8D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C3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6C"/>
    <w:rsid w:val="00584C7B"/>
    <w:rsid w:val="00624453"/>
    <w:rsid w:val="008D16C4"/>
    <w:rsid w:val="00936FBE"/>
    <w:rsid w:val="00B5565F"/>
    <w:rsid w:val="00C2006C"/>
    <w:rsid w:val="00E825E5"/>
    <w:rsid w:val="00F262D4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52B7F"/>
  <w15:docId w15:val="{16125986-2ABD-4644-A69E-A405441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5565F"/>
    <w:rPr>
      <w:rFonts w:ascii="PTAstraSerif-Regular" w:hAnsi="PTAstraSerif-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2025-10-06T04:10:00Z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